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ind w:left="606" w:right="903" w:hanging="0"/>
        <w:jc w:val="center"/>
        <w:rPr/>
      </w:pPr>
      <w:r>
        <w:rPr>
          <w:rFonts w:ascii="Times New Roman" w:hAnsi="Times New Roman"/>
          <w:b/>
          <w:sz w:val="28"/>
          <w:szCs w:val="28"/>
        </w:rPr>
        <w:t xml:space="preserve">Руководство по соблюдению обязательных требований, предъявляемых при осуществлении муниципального контроля </w:t>
      </w:r>
    </w:p>
    <w:p>
      <w:pPr>
        <w:pStyle w:val="Normal"/>
        <w:widowControl w:val="false"/>
        <w:spacing w:before="120" w:after="200"/>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соответствии с требованиями статьи 8.2 Федерального закона от 26.12.2008 № 294-ФЗ «О защите прав юридических лиц и индивидуальных предпринимателей при осуществлении государственного (надзора) и муниципального контроля» на официальных сайтах органов муниципального контроля в сети «Интернет» для каждого вида муниципального контроля размещаются перечни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pPr>
        <w:pStyle w:val="Normal"/>
        <w:tabs>
          <w:tab w:val="clear" w:pos="708"/>
          <w:tab w:val="left" w:pos="0" w:leader="none"/>
        </w:tabs>
        <w:suppressAutoHyphens w:val="true"/>
        <w:ind w:firstLine="567"/>
        <w:jc w:val="both"/>
        <w:rPr>
          <w:rFonts w:ascii="Times New Roman" w:hAnsi="Times New Roman" w:eastAsia="Times New Roman"/>
          <w:color w:val="000000"/>
          <w:sz w:val="28"/>
          <w:szCs w:val="28"/>
          <w:lang w:eastAsia="ar-SA"/>
        </w:rPr>
      </w:pPr>
      <w:r>
        <w:rPr>
          <w:rFonts w:eastAsia="Calibri" w:ascii="Times New Roman" w:hAnsi="Times New Roman"/>
          <w:sz w:val="28"/>
          <w:szCs w:val="28"/>
          <w:lang w:eastAsia="en-US"/>
        </w:rPr>
        <w:t xml:space="preserve">Комментарии и предложения в отношении содержания перечня правовых актов, содержащих обязательные требования, соблюдение которых оценивается при проведении мероприятий по контролю, а также обращения с заявлением, жалобой или предложением могут быть направлены заинтересованными лицами при  личном обращении в администрацию поселения, по телефонам, посредством электронной почты, через Интернет-приемную администрации </w:t>
      </w:r>
    </w:p>
    <w:p>
      <w:pPr>
        <w:pStyle w:val="Normal"/>
        <w:tabs>
          <w:tab w:val="clear" w:pos="708"/>
          <w:tab w:val="left" w:pos="0" w:leader="none"/>
        </w:tabs>
        <w:suppressAutoHyphens w:val="true"/>
        <w:ind w:firstLine="567"/>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Тексты нормативных правовых актов, содержащих обязательные требования, соблюдение которых оценивается при проведении мероприятий по контролю при осуществлении муниципального жилищного контроля, размещены на официальном сайте администрации </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Разъяснение новых требований нормативных правовых актов о муниципальном торговом контроле</w:t>
      </w:r>
    </w:p>
    <w:p>
      <w:pPr>
        <w:pStyle w:val="Normal"/>
        <w:widowControl w:val="false"/>
        <w:jc w:val="both"/>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С 2017 года вступили в силу положения Федерального закона от 03.07.2016 № 277-ФЗ, которым были внесены существенные изменения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 № 294-ФЗ).</w:t>
      </w:r>
    </w:p>
    <w:p>
      <w:pPr>
        <w:pStyle w:val="Normal"/>
        <w:widowControl w:val="false"/>
        <w:ind w:firstLine="567"/>
        <w:jc w:val="both"/>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ind w:left="851" w:hanging="0"/>
        <w:jc w:val="center"/>
        <w:rPr>
          <w:rFonts w:ascii="Times New Roman" w:hAnsi="Times New Roman" w:eastAsia="Calibri"/>
          <w:b/>
          <w:b/>
          <w:sz w:val="28"/>
          <w:szCs w:val="28"/>
          <w:lang w:eastAsia="en-US"/>
        </w:rPr>
      </w:pPr>
      <w:r>
        <w:rPr/>
      </w:r>
    </w:p>
    <w:p>
      <w:pPr>
        <w:pStyle w:val="Normal"/>
        <w:widowControl w:val="false"/>
        <w:ind w:left="851" w:hanging="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Ведение работы по профилактике соблюдения обязательных требований</w:t>
      </w:r>
    </w:p>
    <w:p>
      <w:pPr>
        <w:pStyle w:val="Normal"/>
        <w:widowControl w:val="false"/>
        <w:ind w:hanging="0"/>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       </w:t>
      </w:r>
      <w:r>
        <w:rPr>
          <w:rFonts w:eastAsia="Calibri" w:ascii="Times New Roman" w:hAnsi="Times New Roman"/>
          <w:sz w:val="28"/>
          <w:szCs w:val="28"/>
          <w:lang w:eastAsia="en-US"/>
        </w:rPr>
        <w:t>Органы муниципального контроля обязаны информировать юридических лиц, индивидуальных предпринимателей по вопросам соблюдения обязательных требований, в том числе посредством:</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а) консультаций с подконтрольными субъектами по разъяснению обязательных требований (в том числе, семинары, вебинары, конференции, заседания рабочих групп);</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б) разработки и опубликования руководств по соблюдению обязательных требований, содержащие основные требования в визуализированном виде с изложением текста требований в простом и понятном формате;</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разъяснительной работы в средствах массовой информации;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г) распространения комментариев о содержании новых нормативных правовых актов, устанавливающих обязательные требования, внесенных изменениях в действующие акты;</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д) направления рекомендаций о проведении необходимых организационных, технических мероприятий, направленных на внедрение и обеспечение соблюдения новых обязательных требований.</w:t>
      </w:r>
    </w:p>
    <w:p>
      <w:pPr>
        <w:pStyle w:val="Normal"/>
        <w:tabs>
          <w:tab w:val="clear" w:pos="708"/>
          <w:tab w:val="left" w:pos="0" w:leader="none"/>
        </w:tabs>
        <w:suppressAutoHyphens w:val="true"/>
        <w:ind w:firstLine="567"/>
        <w:jc w:val="both"/>
        <w:rPr>
          <w:rFonts w:ascii="Times New Roman" w:hAnsi="Times New Roman" w:eastAsia="Calibri"/>
          <w:color w:val="0000FF"/>
          <w:sz w:val="28"/>
          <w:szCs w:val="28"/>
          <w:lang w:eastAsia="en-US"/>
        </w:rPr>
      </w:pPr>
      <w:r>
        <w:rPr>
          <w:rFonts w:eastAsia="Calibri" w:ascii="Times New Roman" w:hAnsi="Times New Roman"/>
          <w:sz w:val="28"/>
          <w:szCs w:val="28"/>
          <w:lang w:eastAsia="en-US"/>
        </w:rPr>
        <w:t xml:space="preserve">Программа профилактики нарушений обязательных требований законодательства в сфере муниципального контроля утверждается ежегодно </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ind w:left="851" w:hanging="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Направление предостережений о недопустимости нарушения обязательных требований</w:t>
      </w:r>
    </w:p>
    <w:p>
      <w:pPr>
        <w:pStyle w:val="Normal"/>
        <w:widowControl w:val="false"/>
        <w:ind w:hanging="0"/>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   </w:t>
      </w:r>
      <w:r>
        <w:rPr>
          <w:rFonts w:eastAsia="Calibri" w:ascii="Times New Roman" w:hAnsi="Times New Roman"/>
          <w:sz w:val="28"/>
          <w:szCs w:val="28"/>
          <w:lang w:eastAsia="en-US"/>
        </w:rPr>
        <w:t xml:space="preserve">Предусмотрено направление органами муниципального контроля юридическим лицам, индивидуальным предпринимателям предостережений о недопустимости нарушения обязательных требований. </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Постановлением Правительства Российской Федерации от 10.02.2017 № 166 утверждены Правила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(далее – Правила № 166).</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Решение о направлении предостережения в соответствии с ч. 5 ст. 8.2 Закона № 294-ФЗ принимается при наличии одновременно следующих четырех условий:</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1. Наличие у органа муниципального контроля сведений о готовящихся нарушениях или о признаках нарушений обязательных требований.</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2. Указанные сведения поступили одним из следующих способов:</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а) получены в ходе реализации мероприятий по контролю, осуществляемых без взаимодействия с юридическими лицами, индивидуальными предпринимателями;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б) содержатся в обращениях и заявлениях (за исключением обращений и заявлений, авторство которых не подтверждено);</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содержатся в письмах от органов государственной власти, органов местного самоуправления;</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г) размещены в средствах массовой информации.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3. Отсутствуют подтвержденные данные о том, что нарушение обязательных требований:</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а) причинило вред жизни, здоровью граждан;</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б) причинило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привело к возникновению чрезвычайных ситуаций природного и техногенного характера;</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г) создало непосредственную угрозу указанных последствий.</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Таким образом, предостережение направляется при отсутствии достаточных оснований для проведения внеплановой проверки, предусмотренных п. 2 ч. 2 ст. 10 Закона 294-ФЗ.</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4. Юридическое лицо, индивидуальный предприниматель ранее не привлекались к ответственности за нарушение соответствующих требований.</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Правила № 166 запрещают требовать у юридического лица, индивидуального предпринимателя сведения или документы путем направления предостережения.</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По результатам рассмотрения предостережения юридическим лицом, индивидуальным предпринимателем могут быть направлены возражения на него либо уведомление об исполнении. В случае получения возражений орган муниципального контроля направляет в течение 20 рабочих дней со дня их получения ответ юридическому лицу, индивидуальному предпринимателю.</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уведомлении об исполнении предостережения указываются:</w:t>
      </w:r>
    </w:p>
    <w:p>
      <w:pPr>
        <w:pStyle w:val="Normal"/>
        <w:widowControl w:val="false"/>
        <w:spacing w:lineRule="auto" w:line="240"/>
        <w:ind w:firstLine="851"/>
        <w:jc w:val="both"/>
        <w:rPr/>
      </w:pPr>
      <w:r>
        <w:rPr>
          <w:rFonts w:eastAsia="Calibri" w:ascii="Times New Roman" w:hAnsi="Times New Roman"/>
          <w:sz w:val="28"/>
          <w:szCs w:val="28"/>
          <w:lang w:eastAsia="en-US"/>
        </w:rPr>
        <w:t>а) наименование юридического лица, фамилия, имя, отчество (при наличии) индивидуального предпринимателя;</w:t>
      </w:r>
    </w:p>
    <w:p>
      <w:pPr>
        <w:pStyle w:val="Normal"/>
        <w:widowControl w:val="false"/>
        <w:spacing w:lineRule="auto" w:line="240"/>
        <w:ind w:firstLine="851"/>
        <w:jc w:val="both"/>
        <w:rPr/>
      </w:pPr>
      <w:r>
        <w:rPr>
          <w:rFonts w:eastAsia="Calibri" w:ascii="Times New Roman" w:hAnsi="Times New Roman"/>
          <w:sz w:val="28"/>
          <w:szCs w:val="28"/>
          <w:lang w:eastAsia="en-US"/>
        </w:rPr>
        <w:t>б) идентификационный номер налогоплательщика - юридического лица, индивидуального предпринимателя;</w:t>
      </w:r>
    </w:p>
    <w:p>
      <w:pPr>
        <w:pStyle w:val="Normal"/>
        <w:widowControl w:val="false"/>
        <w:spacing w:lineRule="auto" w:line="240"/>
        <w:ind w:firstLine="851"/>
        <w:jc w:val="both"/>
        <w:rPr/>
      </w:pPr>
      <w:r>
        <w:rPr>
          <w:rFonts w:eastAsia="Calibri" w:ascii="Times New Roman" w:hAnsi="Times New Roman"/>
          <w:sz w:val="28"/>
          <w:szCs w:val="28"/>
          <w:lang w:eastAsia="en-US"/>
        </w:rPr>
        <w:t>в) дата и номер предостережения, направленного в адрес юридического лица, индивидуального предпринимателя;</w:t>
      </w:r>
    </w:p>
    <w:p>
      <w:pPr>
        <w:pStyle w:val="Normal"/>
        <w:widowControl w:val="false"/>
        <w:spacing w:lineRule="auto" w:line="240"/>
        <w:ind w:firstLine="851"/>
        <w:jc w:val="both"/>
        <w:rPr/>
      </w:pPr>
      <w:r>
        <w:rPr>
          <w:rFonts w:eastAsia="Calibri" w:ascii="Times New Roman" w:hAnsi="Times New Roman"/>
          <w:sz w:val="28"/>
          <w:szCs w:val="28"/>
          <w:lang w:eastAsia="en-US"/>
        </w:rPr>
        <w:t>г) сведения о принятых по результатам рассмотрения предостережения мерах по обеспечению соблюдения обязательных требований.</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возражениях указываются:</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а) наименование юридического лица, фамилия, имя, отчество (при наличии) индивидуального предпринимателя;</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б) идентификационный номер налогоплательщика - юридического лица, индивидуального предпринимателя;</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в) дата и номер предостережения, направленного в адрес юридического лица, индивидуального предпринимателя;</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г)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Уведомление об исполнении предостережения, возражения на предостережение направляются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pPr>
        <w:pStyle w:val="Normal"/>
        <w:widowControl w:val="false"/>
        <w:ind w:left="709" w:hanging="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r>
    </w:p>
    <w:p>
      <w:pPr>
        <w:pStyle w:val="Normal"/>
        <w:widowControl w:val="false"/>
        <w:ind w:left="709" w:hanging="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Проведение мероприятий по контролю без взаимодействия с юридическими лицами, индивидуальными предпринимателями</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Вступили в силу положения об организации и проведении мероприятий по контролю без взаимодействия с юридическими лицами, индивидуальными предпринимателями.</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К мероприятиям по контролю без взаимодействия с юридическими лицами, индивидуальными предпринимателями относятся, в том числе:</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а) плановые (рейдовые) осмотры (обследования) территорий, акваторий, транспортных средств;</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б) административные обследования объектов земельных отношений;</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в)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г)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д) другие виды и формы мероприятий по контролю, установленные федеральными законами.</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По результатам таких мероприятий юридическим лицам, индивидуальным предпринимателям может быть направлено предостережение о недопустимости нарушения обязательных требований.</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должностные лица органа муниципального контроля принимают в пределах своей компетенции меры по пресечению таких нарушений, а также направляют письменное мотивированное представление с информацией о выявленных нарушениях, на основании которого может быть назначена внеплановая проверка юридического лица, индивидуального предпринимателя.</w:t>
      </w:r>
    </w:p>
    <w:p>
      <w:pPr>
        <w:pStyle w:val="Normal"/>
        <w:widowControl w:val="false"/>
        <w:ind w:left="851" w:hanging="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Процедура предварительной проверки поступивших обращений</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причинении вреда окружающей среде (возникновении такой угрозы) уполномоченными должностными лицами органа муниципального контроля может быть проведена предварительная проверка поступившей информации. </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ходе проведения предварительной проверки: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а)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б) проводится рассмотрение документов юридического лица, индивидуального предпринимателя, имеющихся в распоряжении органа муниципального контроля;</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 2 ст. 10 Закона № 294-ФЗ,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п.2 ч. 2 ст. 10 Закона № 294-ФЗ. </w:t>
      </w:r>
    </w:p>
    <w:p>
      <w:pPr>
        <w:pStyle w:val="Normal"/>
        <w:widowControl w:val="false"/>
        <w:ind w:left="851" w:hanging="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Порядок запроса документов у юридических лиц, индивидуальных предпринимателе</w:t>
      </w:r>
      <w:r>
        <w:rPr>
          <w:rFonts w:eastAsia="Calibri" w:ascii="Times New Roman" w:hAnsi="Times New Roman"/>
          <w:b/>
          <w:sz w:val="28"/>
          <w:szCs w:val="28"/>
          <w:lang w:eastAsia="en-US"/>
        </w:rPr>
        <w:t>й</w:t>
      </w:r>
    </w:p>
    <w:p>
      <w:pPr>
        <w:pStyle w:val="Normal"/>
        <w:widowControl w:val="false"/>
        <w:numPr>
          <w:ilvl w:val="0"/>
          <w:numId w:val="0"/>
        </w:numPr>
        <w:ind w:firstLine="709"/>
        <w:jc w:val="both"/>
        <w:outlineLvl w:val="0"/>
        <w:rPr>
          <w:rFonts w:ascii="Times New Roman" w:hAnsi="Times New Roman" w:eastAsia="Calibri"/>
          <w:sz w:val="28"/>
          <w:szCs w:val="28"/>
          <w:lang w:eastAsia="en-US"/>
        </w:rPr>
      </w:pPr>
      <w:r>
        <w:rPr>
          <w:rFonts w:eastAsia="Calibri" w:ascii="Times New Roman" w:hAnsi="Times New Roman"/>
          <w:sz w:val="28"/>
          <w:szCs w:val="28"/>
          <w:lang w:eastAsia="en-US"/>
        </w:rPr>
        <w:t>В Законе № 294-ФЗ установлен запрет на истребование от юридического лица, индивидуального предпринимателя при проведении выездной проверки документов и (или) информации, которые были представлены ими в ходе проведения документарной проверки.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При проведении проверки должностные лица органа муниципального контроля не вправе требовать от юридического лица, индивидуального предпринимателя представления документов, информации до даты начала проведения проверки. </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Вместе с тем, орган муниципального контроля после издания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pPr>
        <w:pStyle w:val="Normal"/>
        <w:widowControl w:val="false"/>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Конкретизация способов возможного уведомления юридического лица, индивидуального предпринимателя о проведении проверки</w:t>
      </w:r>
    </w:p>
    <w:p>
      <w:pPr>
        <w:pStyle w:val="Normal"/>
        <w:widowControl w:val="false"/>
        <w:ind w:hanging="0"/>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            </w:t>
      </w:r>
      <w:r>
        <w:rPr>
          <w:rFonts w:eastAsia="Calibri" w:ascii="Times New Roman" w:hAnsi="Times New Roman"/>
          <w:sz w:val="28"/>
          <w:szCs w:val="28"/>
          <w:lang w:eastAsia="en-US"/>
        </w:rPr>
        <w:t>Проверяемое лицо может быть уведомлено не позднее чем за три рабочих дня до начала проведения плановой проверки (за 24 часа до проведения внеплановой проверки) посредством направления копии распоряжения или приказа о проведении проверки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ind w:left="851" w:hanging="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Порядок рассмотрения анонимных и недостоверных обращений, содержащих информацию, являющуюся основанием для проведения проверки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Установлено, что 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Кроме того, существенным нововведением является то, что орган муниципального контроля вправе обратиться в суд с иском о взыскании с гражданина, юридического лица, индивидуального предпринимателя расходов, понесенных таким органом в связи с рассмотрением поступивших заявлений, обращений указанных лиц, если в заявлениях, обращениях были указаны заведомо ложные сведения.</w:t>
      </w:r>
    </w:p>
    <w:p>
      <w:pPr>
        <w:pStyle w:val="Normal"/>
        <w:widowControl w:val="false"/>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t>Порядок действий органа муниципального контроля в случае невозможности проведения проверки</w:t>
      </w:r>
    </w:p>
    <w:p>
      <w:pPr>
        <w:pStyle w:val="Normal"/>
        <w:widowControl w:val="false"/>
        <w:ind w:hanging="0"/>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      </w:t>
      </w:r>
      <w:r>
        <w:rPr>
          <w:rFonts w:eastAsia="Calibri" w:ascii="Times New Roman" w:hAnsi="Times New Roman"/>
          <w:sz w:val="28"/>
          <w:szCs w:val="28"/>
          <w:lang w:eastAsia="en-US"/>
        </w:rPr>
        <w:t>Пред</w:t>
      </w:r>
      <w:r>
        <w:rPr>
          <w:rFonts w:eastAsia="Calibri" w:ascii="Times New Roman" w:hAnsi="Times New Roman"/>
          <w:sz w:val="28"/>
          <w:szCs w:val="28"/>
          <w:lang w:eastAsia="en-US"/>
        </w:rPr>
        <w:t>у</w:t>
      </w:r>
      <w:r>
        <w:rPr>
          <w:rFonts w:eastAsia="Calibri" w:ascii="Times New Roman" w:hAnsi="Times New Roman"/>
          <w:sz w:val="28"/>
          <w:szCs w:val="28"/>
          <w:lang w:eastAsia="en-US"/>
        </w:rPr>
        <w:t>смотрено составление акта о невозможности проведения проверки (прилагается.) В частности, должностное лицо органа муниципального контроля составляет акт о невозможности проведения проверки с указанием причин невозможности ее проведения в случаях, если проведение плановой или внеплановой выездной проверки оказалось невозможным в связи с:</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а) отсутствием индивидуального предпринимателя, его уполномоченного представителя, руководителя или иного должностного лица юридического лица;</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б) фактическим неосуществлением деятельности юридическим лицом, индивидуальным предпринимателем;</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в)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При этом необходимо отметить, что при выявлении виновных действий проверяемых лиц, направленных на воспрепятствование законной деятельности должностного лица по проведению проверок или уклонение от таких проверок, органы муниципального контроля вправе направить материалы дела в орган государственного контроля (надзора) для возбуждения дела об административном правонарушении по ст. 19.4.1 Кодекса Российской Федерации об административных правонарушениях и направить соответствующие материалы для рассмотрения в суд.</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В соответствии с ч. 2 ст. 19.4.1 КоАП РФ воспрепятствование законной деятельности должностного лица органа муниципального контроля, повлекшее невозможность проведения или завершения проверки, влечет наложение административного штрафа:</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а) на должностных лиц в размере от пяти тысяч до десяти тысяч рублей;</w:t>
      </w:r>
    </w:p>
    <w:p>
      <w:pPr>
        <w:pStyle w:val="Normal"/>
        <w:widowControl w:val="false"/>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б) на юридических лиц - от двадцати тысяч до пятидесяти тысяч рублей.</w:t>
      </w:r>
    </w:p>
    <w:p>
      <w:pPr>
        <w:pStyle w:val="Normal"/>
        <w:widowControl w:val="false"/>
        <w:ind w:firstLine="851"/>
        <w:jc w:val="both"/>
        <w:rPr>
          <w:rFonts w:ascii="Times New Roman" w:hAnsi="Times New Roman" w:eastAsia="Calibri"/>
          <w:sz w:val="28"/>
          <w:szCs w:val="28"/>
          <w:lang w:eastAsia="en-US"/>
        </w:rPr>
      </w:pPr>
      <w:r>
        <w:rPr>
          <w:rFonts w:eastAsia="Calibri" w:ascii="Times New Roman" w:hAnsi="Times New Roman"/>
          <w:sz w:val="28"/>
          <w:szCs w:val="28"/>
          <w:lang w:eastAsia="en-US"/>
        </w:rPr>
        <w:t>Кроме того,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pPr>
        <w:pStyle w:val="Style14"/>
        <w:ind w:right="-1" w:hanging="0"/>
        <w:jc w:val="both"/>
        <w:rPr>
          <w:rFonts w:ascii="Times New Roman" w:hAnsi="Times New Roman" w:cs="Times New Roman"/>
          <w:b w:val="false"/>
          <w:b w:val="false"/>
          <w:bCs w:val="false"/>
          <w:color w:val="000000"/>
          <w:sz w:val="28"/>
          <w:szCs w:val="28"/>
        </w:rPr>
      </w:pPr>
      <w:r>
        <w:rPr>
          <w:rFonts w:cs="Times New Roman" w:ascii="Times New Roman" w:hAnsi="Times New Roman"/>
          <w:b w:val="false"/>
          <w:bCs w:val="false"/>
          <w:color w:val="000000"/>
          <w:sz w:val="28"/>
          <w:szCs w:val="28"/>
        </w:rPr>
      </w:r>
    </w:p>
    <w:p>
      <w:pPr>
        <w:pStyle w:val="Normal"/>
        <w:jc w:val="center"/>
        <w:rPr>
          <w:rFonts w:ascii="Times New Roman" w:hAnsi="Times New Roman" w:cs="Times New Roman"/>
          <w:b/>
          <w:b/>
          <w:bCs/>
          <w:sz w:val="28"/>
          <w:szCs w:val="28"/>
        </w:rPr>
      </w:pPr>
      <w:r>
        <w:rPr/>
      </w:r>
    </w:p>
    <w:p>
      <w:pPr>
        <w:pStyle w:val="Normal"/>
        <w:jc w:val="center"/>
        <w:rPr>
          <w:rFonts w:ascii="Times New Roman" w:hAnsi="Times New Roman" w:cs="Times New Roman"/>
          <w:b/>
          <w:b/>
          <w:bCs/>
          <w:sz w:val="28"/>
          <w:szCs w:val="28"/>
        </w:rPr>
      </w:pPr>
      <w:r>
        <w:rPr>
          <w:rFonts w:ascii="Times New Roman" w:hAnsi="Times New Roman"/>
          <w:b/>
          <w:bCs/>
          <w:sz w:val="28"/>
          <w:szCs w:val="28"/>
        </w:rPr>
        <w:t>Административная ответственность</w:t>
      </w:r>
    </w:p>
    <w:p>
      <w:pPr>
        <w:pStyle w:val="Normal"/>
        <w:ind w:hanging="0"/>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Субъекты надзора,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должностных лиц администрации об устранении выявленных нарушений обязательных требований, несут административную ответственность в соответствии с законодательством Российской Федерации. Несоблюдение указанных требований образует составы административных правонарушений, предусмотренных статьями главы 19 Кодекса Российской Федерации об административных правонарушениях, а именно:</w:t>
      </w:r>
    </w:p>
    <w:p>
      <w:pPr>
        <w:pStyle w:val="Normal"/>
        <w:ind w:firstLine="709"/>
        <w:jc w:val="both"/>
        <w:rPr>
          <w:rFonts w:ascii="Times New Roman" w:hAnsi="Times New Roman"/>
          <w:bCs/>
          <w:sz w:val="28"/>
          <w:szCs w:val="28"/>
        </w:rPr>
      </w:pPr>
      <w:r>
        <w:rPr>
          <w:rFonts w:ascii="Times New Roman" w:hAnsi="Times New Roman"/>
          <w:bCs/>
          <w:sz w:val="28"/>
          <w:szCs w:val="28"/>
        </w:rPr>
        <w:t>статья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pPr>
        <w:pStyle w:val="Normal"/>
        <w:ind w:firstLine="709"/>
        <w:jc w:val="both"/>
        <w:rPr>
          <w:rFonts w:ascii="Times New Roman" w:hAnsi="Times New Roman"/>
          <w:bCs/>
          <w:sz w:val="28"/>
          <w:szCs w:val="28"/>
        </w:rPr>
      </w:pPr>
      <w:r>
        <w:rPr>
          <w:rFonts w:ascii="Times New Roman" w:hAnsi="Times New Roman"/>
          <w:bCs/>
          <w:sz w:val="28"/>
          <w:szCs w:val="28"/>
        </w:rPr>
        <w:t>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pPr>
        <w:pStyle w:val="Normal"/>
        <w:ind w:firstLine="709"/>
        <w:jc w:val="both"/>
        <w:rPr>
          <w:rFonts w:ascii="Times New Roman" w:hAnsi="Times New Roman"/>
          <w:bCs/>
          <w:sz w:val="28"/>
          <w:szCs w:val="28"/>
        </w:rPr>
      </w:pPr>
      <w:r>
        <w:rPr>
          <w:rFonts w:ascii="Times New Roman" w:hAnsi="Times New Roman"/>
          <w:bCs/>
          <w:sz w:val="28"/>
          <w:szCs w:val="28"/>
        </w:rPr>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pPr>
        <w:pStyle w:val="Normal"/>
        <w:ind w:firstLine="709"/>
        <w:jc w:val="both"/>
        <w:rPr>
          <w:rFonts w:ascii="Times New Roman" w:hAnsi="Times New Roman"/>
          <w:bCs/>
          <w:sz w:val="28"/>
          <w:szCs w:val="28"/>
        </w:rPr>
      </w:pPr>
      <w:r>
        <w:rPr>
          <w:rFonts w:ascii="Times New Roman" w:hAnsi="Times New Roman"/>
          <w:bCs/>
          <w:sz w:val="28"/>
          <w:szCs w:val="28"/>
        </w:rPr>
        <w:t>статья 19.7. Непредставление сведений (информации).</w:t>
      </w:r>
    </w:p>
    <w:p>
      <w:pPr>
        <w:pStyle w:val="Normal"/>
        <w:jc w:val="both"/>
        <w:rPr>
          <w:rFonts w:ascii="Times New Roman" w:hAnsi="Times New Roman"/>
          <w:sz w:val="28"/>
          <w:szCs w:val="28"/>
        </w:rPr>
      </w:pPr>
      <w:r>
        <w:rPr>
          <w:rFonts w:ascii="Times New Roman" w:hAnsi="Times New Roman"/>
          <w:sz w:val="28"/>
          <w:szCs w:val="28"/>
        </w:rPr>
      </w:r>
    </w:p>
    <w:p>
      <w:pPr>
        <w:pStyle w:val="Normal"/>
        <w:jc w:val="both"/>
        <w:rPr>
          <w:rFonts w:ascii="Times New Roman" w:hAnsi="Times New Roman"/>
          <w:sz w:val="28"/>
          <w:szCs w:val="28"/>
        </w:rPr>
      </w:pPr>
      <w:r>
        <w:rPr>
          <w:rFonts w:ascii="Times New Roman" w:hAnsi="Times New Roman"/>
          <w:sz w:val="28"/>
          <w:szCs w:val="28"/>
        </w:rPr>
      </w:r>
    </w:p>
    <w:p>
      <w:pPr>
        <w:pStyle w:val="Normal"/>
        <w:jc w:val="both"/>
        <w:rPr>
          <w:rFonts w:ascii="Times New Roman" w:hAnsi="Times New Roman"/>
          <w:sz w:val="28"/>
          <w:szCs w:val="28"/>
        </w:rPr>
      </w:pPr>
      <w:r>
        <w:rPr>
          <w:rFonts w:ascii="Times New Roman" w:hAnsi="Times New Roman"/>
          <w:sz w:val="28"/>
          <w:szCs w:val="28"/>
        </w:rPr>
      </w:r>
    </w:p>
    <w:p>
      <w:pPr>
        <w:pStyle w:val="Style14"/>
        <w:tabs>
          <w:tab w:val="clear" w:pos="708"/>
          <w:tab w:val="left" w:pos="7282" w:leader="none"/>
        </w:tabs>
        <w:ind w:right="-1" w:hanging="0"/>
        <w:jc w:val="both"/>
        <w:rPr>
          <w:rFonts w:ascii="Times New Roman" w:hAnsi="Times New Roman" w:cs="Times New Roman"/>
          <w:b w:val="false"/>
          <w:b w:val="false"/>
          <w:bCs w:val="false"/>
          <w:sz w:val="28"/>
          <w:szCs w:val="28"/>
        </w:rPr>
      </w:pPr>
      <w:r>
        <w:rPr>
          <w:rFonts w:cs="Times New Roman" w:ascii="Times New Roman" w:hAnsi="Times New Roman"/>
          <w:b w:val="false"/>
          <w:bCs w:val="false"/>
          <w:sz w:val="28"/>
          <w:szCs w:val="28"/>
        </w:rPr>
      </w:r>
    </w:p>
    <w:p>
      <w:pPr>
        <w:pStyle w:val="Normal"/>
        <w:rPr>
          <w:rFonts w:ascii="Arial" w:hAnsi="Arial" w:cs="Times New Roman"/>
          <w:sz w:val="24"/>
          <w:szCs w:val="20"/>
        </w:rPr>
      </w:pPr>
      <w:r>
        <w:rPr>
          <w:rFonts w:cs="Times New Roman" w:ascii="Arial" w:hAnsi="Arial"/>
          <w:sz w:val="24"/>
          <w:szCs w:val="20"/>
        </w:rPr>
      </w:r>
    </w:p>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paragraph" w:styleId="Style14" w:customStyle="1">
    <w:name w:val="Заголовок"/>
    <w:next w:val="Style15"/>
    <w:uiPriority w:val="99"/>
    <w:qFormat/>
    <w:rsid w:val="002b7b14"/>
    <w:pPr>
      <w:widowControl/>
      <w:bidi w:val="0"/>
      <w:spacing w:lineRule="auto" w:line="240" w:before="0" w:after="0"/>
      <w:jc w:val="left"/>
    </w:pPr>
    <w:rPr>
      <w:rFonts w:ascii="Arial" w:hAnsi="Arial" w:eastAsia="Times New Roman" w:cs="Arial"/>
      <w:b/>
      <w:bCs/>
      <w:color w:val="auto"/>
      <w:kern w:val="0"/>
      <w:sz w:val="22"/>
      <w:szCs w:val="22"/>
      <w:lang w:val="ru-RU" w:eastAsia="ru-RU" w:bidi="ar-SA"/>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lang w:val="zxx" w:eastAsia="zxx" w:bidi="zxx"/>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LibreOffice/7.3.1.3$Windows_X86_64 LibreOffice_project/a69ca51ded25f3eefd52d7bf9a5fad8c90b87951</Application>
  <AppVersion>15.0000</AppVersion>
  <Pages>10</Pages>
  <Words>1958</Words>
  <Characters>15638</Characters>
  <CharactersWithSpaces>17555</CharactersWithSpaces>
  <Paragraphs>90</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2019-10-14T05:38:00Z</dcterms:created>
  <dc:creator>User</dc:creator>
  <dc:description/>
  <dc:language>ru-RU</dc:language>
  <cp:lastModifiedBy/>
  <dcterms:modified xsi:type="dcterms:W3CDTF">2022-11-22T12:35:59Z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